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72 vom 18. Februar 1981</w:t>
      </w:r>
    </w:p>
    <w:p>
      <w:r>
        <w:t>Bundesgericht (BGE), 1981-02-18, DE</w:t>
      </w:r>
    </w:p>
    <w:p>
      <w:r>
        <w:rPr>
          <w:b/>
        </w:rPr>
        <w:t xml:space="preserve">Quelle: </w:t>
      </w:r>
      <w:r>
        <w:t>https://mcp.opencaselaw.ch/entscheid/bge_107 IA 72</w:t>
      </w:r>
    </w:p>
    <w:p>
      <w:r>
        <w:t>FR: BGE 107 IA 72 du 18 février 1981</w:t>
      </w:r>
    </w:p>
    <w:p>
      <w:r>
        <w:t>IT: BGE 107 IA 72 del 18 febbraio 1981</w:t>
      </w:r>
    </w:p>
    <w:p>
      <w:pPr>
        <w:pStyle w:val="Heading2"/>
      </w:pPr>
      <w:r>
        <w:t>Regeste</w:t>
      </w:r>
    </w:p>
    <w:p>
      <w:r>
        <w:t>Regeste Art. 88 OG; Legitimation des Nachbarn zur staatsrechtlichen Beschwerde. Legitimation verneint, soweit eine Verletzung der luzernischen Vorschriften über die Errichtung von privaten Parkplätzen geltend gemacht wird (E. 2). Art. 4 BV; Rechtliches Gehör, mangelhafte Eröffnung einer Baubewilligung. Der Beschwerdeführer, der infolge fehlender oder mangelhafter Eröffnung einer Baubewilligung auch nach Ablauf der ordentlichen Frist Beschwerde erheben kann, darf den Beginn des für ihn massgebenden Fristenlaufs nicht beliebig hinausschieben; er muss sich nach Treu und Glauben und den Umständen entsprechend nach Bestand und Inhalt der Verfügung erkundigen. Frist im vorliegenden Fall versäumt (E. 4a).</w:t>
      </w:r>
    </w:p>
    <w:p>
      <w:pPr>
        <w:pStyle w:val="Heading2"/>
      </w:pPr>
      <w:r>
        <w:t>Erwägungen</w:t>
      </w:r>
    </w:p>
    <w:p>
      <w:r>
        <w:rPr>
          <w:b/>
        </w:rPr>
        <w:t>E. 2</w:t>
      </w:r>
    </w:p>
    <w:p>
      <w:r>
        <w:t>a) Die Beschwerdeführer fechten die dem Beschwerdegegner erteilte Baubewilligung an. Es ist vorerst zu prüfen, ob hierfür die Legitimation im Sinne von Art. 88 OG gegeben ist. Die Beschwerdeführerin Nr. 1 erachtet sich als Eigentümerin der Parzelle Nr. 349 zur staatsrechtlichen Beschwerde legitimiert. Nach der Rechtsprechung des Bundesgerichts sind Eigentümer benachbarter Grundstücke befugt, eine Baubewilligung mit staatsrechtlicher Beschwerde anzufechten, soweit sie die Verletzung von Bauvorschriften geltend machen, die ausser den Interessen der Allgemeinheit auch oder in erster Linie dem Schutze des Nachbarn dienen. Zusätzlich müssen sie dartun, dass sie sich im Schutzbereich der Vorschriften befinden und durch die behaupteten widerrechtlichen Auswirkungen der Baute betroffen werden ( BGE 106 Ia 63 E. 2; BGE 102 Ia 93 E. 1, mit Hinweisen). Die Legitimation zur staatsrechtlichen Beschwerde bestimmt sich dabei ausschliesslich nach den Bestimmungen des OG; der Umstand, dass ein Beschwerdeführer im kantonalen Verfahren Parteistellung hatte, ist nicht entscheidend ( BGE 106 Ia 63 E. 2, mit Hinweisen). b) Die Beschwerdeführerin Nr. 1 ist nicht unmittelbarer Nachbar des Beschwerdegegners, da ihre Parzelle durch eine schmale Wegfläche von jener des Beschwerdegegners getrennt ist. Dieser Umstand würde die Beschwerdelegitimation der Beschwerdeführerin an sich nicht ausschliessen (nicht veröffentlichtes Urteil Kopp vom 3. Dezember 1980, E. 1c). Hingegen dient die als verletzt betrachtete Bestimmung von § 89 des Strassengesetzes des Kantons Luzern vom 15. September 1964 (StrG) nicht dem Schutze von Nachbarn. Diese Vorschrift verpflichtet die Bauherren, bei Neubauten und grösseren Umbauten auf privatem Grund die erforderliche Abstellfläche für Fahrzeuge zu schaffen; verhindern die örtlichen Verhältnisse die Erfüllung dieser Pflicht, so hat der Bauherr eine den Verhältnissen angemessene Ablösungssumme zu leisten. Diese BGE 107 Ia 72 S. 75 Bestimmungen liegen ausschliesslich im öffentlichen, verkehrspolizeilichen Interesse; es soll das Strassen- und Trottoirgebiet vom ruhenden Verkehr freigehalten und ein ungehinderter Fahrzeug- und Fussgängerverkehr garantiert werden (vgl. BGE 97 I 797 E. a; H. Egger, Einführung in das zürcherische Baurecht, 3. Aufl. 1970, S. 85). Dass § 89 StrG mindestens teilweise auch den Interessen der Nachbarn dienen soll, lässt sich nicht damit begründen, die Kundschaft des Beschwerdegegners parkiere ihre Fahrzeuge auf dem Land der Beschwerdeführerin Nr. 1. Die Vorschriften des öffentlichen Baurechtes sind nicht dazu bestimmt, unerlaubtes Parkieren auf Privatgrund zu verhindern. Hiefür stehen andere Rechtsbehelfe zur Verfügung, z.B. der Erlass eines richterlichen Verbotes zur Benützung fremden Grundeigentums durch Unberechtigte. Der Beschwerdeführerin Nr. 1 fehlt daher die Legitimation zur staatsrechtlichen Beschwerde im Sinne von Art. 88 OG , soweit sie eine Verletzung von § 89 StrG geltend macht. Die Legitimation würde bei dieser Sachlage auch dem Beschwerdeführer Nr. 2 fehlen, ohne dass entschieden werden muss, ob er aufgrund seines Kaufsrechts an sich zur staatsrechtlichen Beschwerde legitimiert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